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D7" w:rsidRPr="00B81138" w:rsidRDefault="00156ED7" w:rsidP="00B81138">
      <w:pPr>
        <w:rPr>
          <w:b/>
        </w:rPr>
      </w:pPr>
      <w:bookmarkStart w:id="0" w:name="_Toc337121880"/>
      <w:r w:rsidRPr="00B81138">
        <w:rPr>
          <w:b/>
        </w:rPr>
        <w:t>Annex IV.2: Project Typology</w:t>
      </w:r>
      <w:bookmarkEnd w:id="0"/>
      <w:r w:rsidR="00CC2AD6" w:rsidRPr="00B81138">
        <w:rPr>
          <w:b/>
        </w:rPr>
        <w:t xml:space="preserve"> - Private Sector Evaluation</w:t>
      </w:r>
    </w:p>
    <w:p w:rsidR="00B81138" w:rsidRDefault="00B81138" w:rsidP="00B81138">
      <w:pPr>
        <w:jc w:val="left"/>
      </w:pPr>
    </w:p>
    <w:p w:rsidR="00156ED7" w:rsidRDefault="00156ED7" w:rsidP="00B81138">
      <w:pPr>
        <w:jc w:val="left"/>
      </w:pPr>
      <w:r w:rsidRPr="00852C36">
        <w:t xml:space="preserve">Where appropriate, the GPS have been tailored to the characteristics of different types of project supported under the </w:t>
      </w:r>
      <w:r>
        <w:t>IFI</w:t>
      </w:r>
      <w:r w:rsidRPr="00852C36">
        <w:t>’s private sector mandate.  These project types broadly fall into f</w:t>
      </w:r>
      <w:r>
        <w:t>ive</w:t>
      </w:r>
      <w:r w:rsidRPr="00852C36">
        <w:t xml:space="preserve"> groups</w:t>
      </w:r>
      <w:r>
        <w:t>.  It is the responsibility and ultimate decision of the CED to assign the relevant project type when applying the framework.  For projects exhibiting a mix of project types, it is recommended that CEDs use a range of metrics as appropriate.</w:t>
      </w:r>
    </w:p>
    <w:p w:rsidR="00B90DF0" w:rsidRPr="00852C36" w:rsidRDefault="00B90DF0" w:rsidP="00156ED7">
      <w:pPr>
        <w:pStyle w:val="General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/>
      </w:tblPr>
      <w:tblGrid>
        <w:gridCol w:w="3347"/>
        <w:gridCol w:w="6213"/>
        <w:gridCol w:w="3630"/>
      </w:tblGrid>
      <w:tr w:rsidR="00156ED7" w:rsidRPr="008670F4" w:rsidTr="00B90DF0">
        <w:tc>
          <w:tcPr>
            <w:tcW w:w="334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b/>
                <w:sz w:val="16"/>
              </w:rPr>
            </w:pPr>
            <w:r w:rsidRPr="008670F4">
              <w:rPr>
                <w:b/>
                <w:sz w:val="16"/>
              </w:rPr>
              <w:t>Project Type:</w:t>
            </w:r>
          </w:p>
        </w:tc>
        <w:tc>
          <w:tcPr>
            <w:tcW w:w="62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b/>
                <w:sz w:val="16"/>
              </w:rPr>
            </w:pPr>
            <w:r w:rsidRPr="008670F4">
              <w:rPr>
                <w:b/>
                <w:sz w:val="16"/>
              </w:rPr>
              <w:t>Description:</w:t>
            </w:r>
          </w:p>
        </w:tc>
        <w:tc>
          <w:tcPr>
            <w:tcW w:w="36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b/>
                <w:sz w:val="16"/>
              </w:rPr>
            </w:pPr>
            <w:r w:rsidRPr="008670F4">
              <w:rPr>
                <w:b/>
                <w:sz w:val="16"/>
              </w:rPr>
              <w:t>Financing Instrument typically used to support project:</w:t>
            </w:r>
          </w:p>
        </w:tc>
      </w:tr>
      <w:tr w:rsidR="00156ED7" w:rsidRPr="008670F4" w:rsidTr="00B90DF0">
        <w:tc>
          <w:tcPr>
            <w:tcW w:w="131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b/>
                <w:i/>
                <w:sz w:val="16"/>
              </w:rPr>
            </w:pPr>
            <w:r w:rsidRPr="008670F4">
              <w:rPr>
                <w:b/>
                <w:i/>
                <w:sz w:val="16"/>
              </w:rPr>
              <w:t>Group A: Capital expenditure projects involving direct investments in identifiable assets</w:t>
            </w:r>
          </w:p>
        </w:tc>
      </w:tr>
      <w:tr w:rsidR="00156ED7" w:rsidRPr="00927E96" w:rsidTr="00B90DF0"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ind w:left="176"/>
              <w:jc w:val="left"/>
              <w:rPr>
                <w:sz w:val="16"/>
              </w:rPr>
            </w:pPr>
            <w:r w:rsidRPr="008670F4">
              <w:rPr>
                <w:sz w:val="16"/>
              </w:rPr>
              <w:t>Greenfield or limited recourse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sz w:val="16"/>
              </w:rPr>
            </w:pPr>
            <w:r w:rsidRPr="008670F4">
              <w:rPr>
                <w:sz w:val="16"/>
              </w:rPr>
              <w:t>Investment in a new venture or in a stand-alone company created for the purpose of investing in new assets / undertaking a concession etc.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tabs>
                <w:tab w:val="left" w:pos="1770"/>
              </w:tabs>
              <w:spacing w:before="40" w:after="40" w:line="240" w:lineRule="auto"/>
              <w:jc w:val="left"/>
              <w:rPr>
                <w:sz w:val="16"/>
              </w:rPr>
            </w:pPr>
            <w:r w:rsidRPr="008670F4">
              <w:rPr>
                <w:sz w:val="16"/>
              </w:rPr>
              <w:t>Loan, Quasi-Equity, Equity, Financial Guarantee, Partial Risk Guarantee</w:t>
            </w:r>
            <w:r>
              <w:rPr>
                <w:sz w:val="16"/>
              </w:rPr>
              <w:t>, MIGA PRI</w:t>
            </w:r>
          </w:p>
        </w:tc>
      </w:tr>
      <w:tr w:rsidR="00156ED7" w:rsidRPr="00927E96" w:rsidTr="00B90DF0"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ind w:left="176"/>
              <w:jc w:val="left"/>
              <w:rPr>
                <w:sz w:val="16"/>
              </w:rPr>
            </w:pPr>
            <w:r w:rsidRPr="008670F4">
              <w:rPr>
                <w:sz w:val="16"/>
              </w:rPr>
              <w:t>Expansion of existing operations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sz w:val="16"/>
              </w:rPr>
            </w:pPr>
            <w:r w:rsidRPr="008670F4">
              <w:rPr>
                <w:sz w:val="16"/>
              </w:rPr>
              <w:t>Investment made by an existing company to expand capacity / enter a new business or market.   Investment is made on balance sheet.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tabs>
                <w:tab w:val="left" w:pos="1298"/>
              </w:tabs>
              <w:spacing w:before="40" w:after="40" w:line="240" w:lineRule="auto"/>
              <w:jc w:val="left"/>
              <w:rPr>
                <w:sz w:val="16"/>
              </w:rPr>
            </w:pPr>
            <w:r w:rsidRPr="008670F4">
              <w:rPr>
                <w:sz w:val="16"/>
              </w:rPr>
              <w:t>Loan, Quasi-Equity, Equity, Financial Guarantee, Partial Risk Guarantee</w:t>
            </w:r>
            <w:r>
              <w:rPr>
                <w:sz w:val="16"/>
              </w:rPr>
              <w:t>, MIGA PRI</w:t>
            </w:r>
          </w:p>
        </w:tc>
      </w:tr>
      <w:tr w:rsidR="00156ED7" w:rsidRPr="00927E96" w:rsidTr="00B90DF0"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ind w:left="176"/>
              <w:jc w:val="left"/>
              <w:rPr>
                <w:sz w:val="16"/>
              </w:rPr>
            </w:pPr>
            <w:r w:rsidRPr="008670F4">
              <w:rPr>
                <w:sz w:val="16"/>
              </w:rPr>
              <w:t>Rehabilitation or modernization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sz w:val="16"/>
              </w:rPr>
            </w:pPr>
            <w:r w:rsidRPr="008670F4">
              <w:rPr>
                <w:sz w:val="16"/>
              </w:rPr>
              <w:t>Investment made by an existing company to upgrade existing assets.  No new assets are created by the investment.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sz w:val="16"/>
              </w:rPr>
            </w:pPr>
            <w:r w:rsidRPr="008670F4">
              <w:rPr>
                <w:sz w:val="16"/>
              </w:rPr>
              <w:t>Loan, Quasi-Equity, Equity, Financial Guarantee, Partial Risk Guarantee</w:t>
            </w:r>
            <w:r>
              <w:rPr>
                <w:sz w:val="16"/>
              </w:rPr>
              <w:t>, MIGA PRI</w:t>
            </w:r>
          </w:p>
        </w:tc>
      </w:tr>
      <w:tr w:rsidR="00156ED7" w:rsidRPr="008670F4" w:rsidTr="00B90DF0">
        <w:tc>
          <w:tcPr>
            <w:tcW w:w="131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b/>
                <w:i/>
                <w:sz w:val="16"/>
              </w:rPr>
            </w:pPr>
            <w:r w:rsidRPr="008670F4">
              <w:rPr>
                <w:b/>
                <w:i/>
                <w:sz w:val="16"/>
              </w:rPr>
              <w:t>Group B: Institutional investments supporting broad corporate investment programs</w:t>
            </w:r>
          </w:p>
        </w:tc>
      </w:tr>
      <w:tr w:rsidR="00156ED7" w:rsidRPr="00927E96" w:rsidTr="00B90DF0"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ind w:left="176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General Corporate Investment in a</w:t>
            </w:r>
            <w:r>
              <w:rPr>
                <w:sz w:val="16"/>
              </w:rPr>
              <w:br/>
            </w:r>
            <w:r w:rsidRPr="008670F4">
              <w:rPr>
                <w:sz w:val="16"/>
              </w:rPr>
              <w:t>Non-Financial Institution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To support a broad corporate expansion program where individual investments are too numerous or too general to be identifiable.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Loan, Quasi-Equity, Equity, Financial Guarantee, Partial Risk Guarantee</w:t>
            </w:r>
          </w:p>
        </w:tc>
      </w:tr>
      <w:tr w:rsidR="00156ED7" w:rsidRPr="00927E96" w:rsidTr="00B90DF0"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ind w:left="176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Corporate Investment in a Financial Institution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 xml:space="preserve">To improve the FI's capital / liquidity / maturity profile.  May include corporate governance reforms </w:t>
            </w:r>
            <w:r>
              <w:rPr>
                <w:sz w:val="16"/>
              </w:rPr>
              <w:t>or</w:t>
            </w:r>
            <w:r w:rsidRPr="008670F4">
              <w:rPr>
                <w:sz w:val="16"/>
              </w:rPr>
              <w:t xml:space="preserve"> other institutional improvements.</w:t>
            </w:r>
            <w:r>
              <w:rPr>
                <w:sz w:val="16"/>
              </w:rPr>
              <w:t xml:space="preserve">  Corporate FI investments should be treated under Group D1 where their effects are manifested in changes in the FI’s portfolio.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Loan, Quasi-Equity, Equity, Financial Guarantee, Partial Risk Guarantee</w:t>
            </w:r>
            <w:r>
              <w:rPr>
                <w:sz w:val="16"/>
              </w:rPr>
              <w:t>, MIGA PRI</w:t>
            </w:r>
          </w:p>
        </w:tc>
      </w:tr>
      <w:tr w:rsidR="00156ED7" w:rsidRPr="008670F4" w:rsidTr="00B90DF0">
        <w:tc>
          <w:tcPr>
            <w:tcW w:w="131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b/>
                <w:i/>
                <w:sz w:val="16"/>
              </w:rPr>
            </w:pPr>
            <w:r w:rsidRPr="008670F4">
              <w:rPr>
                <w:b/>
                <w:i/>
                <w:sz w:val="16"/>
              </w:rPr>
              <w:t>Group C: Projects supporting financial diversification, refinancing or short-term funding requirements</w:t>
            </w:r>
          </w:p>
        </w:tc>
      </w:tr>
      <w:tr w:rsidR="00156ED7" w:rsidRPr="00927E96" w:rsidTr="00B90DF0"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ind w:left="176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Corporate Financial Restructuring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Concerned with refinancing (right-side balance sheet) of existing debt</w:t>
            </w:r>
            <w:r>
              <w:rPr>
                <w:sz w:val="16"/>
              </w:rPr>
              <w:t xml:space="preserve"> </w:t>
            </w:r>
            <w:r w:rsidRPr="008670F4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8670F4">
              <w:rPr>
                <w:sz w:val="16"/>
              </w:rPr>
              <w:t>equity structure.  No new assets created.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Loan, Quasi-Equity, Equity, Financial Guarantee, Partial Risk Guarantee</w:t>
            </w:r>
            <w:r>
              <w:rPr>
                <w:sz w:val="16"/>
              </w:rPr>
              <w:t>, MIGA PRI</w:t>
            </w:r>
          </w:p>
        </w:tc>
      </w:tr>
      <w:tr w:rsidR="00156ED7" w:rsidRPr="00927E96" w:rsidTr="00B90DF0"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ind w:left="176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Working Capital Finance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To support short-term or permanent funding requirements arising out of the normal course of trade.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Loan</w:t>
            </w:r>
            <w:r>
              <w:rPr>
                <w:sz w:val="16"/>
              </w:rPr>
              <w:t>, Financial Guarantee</w:t>
            </w:r>
            <w:r w:rsidRPr="008670F4">
              <w:rPr>
                <w:sz w:val="16"/>
              </w:rPr>
              <w:t>, Partial Risk Guarantee</w:t>
            </w:r>
          </w:p>
        </w:tc>
      </w:tr>
      <w:tr w:rsidR="00156ED7" w:rsidRPr="00927E96" w:rsidTr="00B90DF0"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ind w:left="176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Securitization / Credit Enhancement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Participation in, or credit enhancement of, new securities backed by a pool of income-generating assets.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Loan, Quasi-Equity, Equity, Financial Guarantee, Partial Risk Guarantee</w:t>
            </w:r>
            <w:r>
              <w:rPr>
                <w:sz w:val="16"/>
              </w:rPr>
              <w:t>, MIGA PRI</w:t>
            </w:r>
          </w:p>
        </w:tc>
      </w:tr>
      <w:tr w:rsidR="00156ED7" w:rsidRPr="008670F4" w:rsidTr="00B90DF0">
        <w:tc>
          <w:tcPr>
            <w:tcW w:w="131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b/>
                <w:i/>
                <w:sz w:val="16"/>
              </w:rPr>
            </w:pPr>
            <w:r w:rsidRPr="008670F4">
              <w:rPr>
                <w:b/>
                <w:i/>
                <w:sz w:val="16"/>
              </w:rPr>
              <w:t>Group D1: Investments made in multiple sub-projects via intermediation in a bank or other credit institution</w:t>
            </w:r>
          </w:p>
        </w:tc>
      </w:tr>
      <w:tr w:rsidR="00156ED7" w:rsidRPr="00927E96" w:rsidTr="00B90DF0"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ind w:left="176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Intermediation via FI with</w:t>
            </w:r>
            <w:r>
              <w:rPr>
                <w:sz w:val="16"/>
              </w:rPr>
              <w:t xml:space="preserve"> </w:t>
            </w:r>
            <w:r w:rsidRPr="008670F4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8670F4">
              <w:rPr>
                <w:sz w:val="16"/>
              </w:rPr>
              <w:t xml:space="preserve">without </w:t>
            </w:r>
            <w:r w:rsidRPr="008670F4">
              <w:rPr>
                <w:sz w:val="16"/>
              </w:rPr>
              <w:lastRenderedPageBreak/>
              <w:t>attribution to sub-projects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lastRenderedPageBreak/>
              <w:t xml:space="preserve">Credit line provided with specific objectives to support the investment programs of </w:t>
            </w:r>
            <w:r w:rsidRPr="008670F4">
              <w:rPr>
                <w:sz w:val="16"/>
              </w:rPr>
              <w:lastRenderedPageBreak/>
              <w:t>sub-borrowers.  May or may not have requirements to track and report sub-loans.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lastRenderedPageBreak/>
              <w:t>Loan</w:t>
            </w:r>
            <w:r>
              <w:rPr>
                <w:sz w:val="16"/>
              </w:rPr>
              <w:t>, MIGA PRI</w:t>
            </w:r>
          </w:p>
        </w:tc>
      </w:tr>
      <w:tr w:rsidR="00156ED7" w:rsidRPr="00927E96" w:rsidTr="00B90DF0"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ind w:left="176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lastRenderedPageBreak/>
              <w:t>Trade Finance / Factoring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To support, via intermediation, the short-term funding requirements of multiple sub-borrowers arising out of the normal course of trade.  Typically no attribution.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Loan</w:t>
            </w:r>
            <w:r>
              <w:rPr>
                <w:sz w:val="16"/>
              </w:rPr>
              <w:t>, Financial Guarantee</w:t>
            </w:r>
            <w:r w:rsidRPr="008670F4">
              <w:rPr>
                <w:sz w:val="16"/>
              </w:rPr>
              <w:t>, Partial Risk Guarantee</w:t>
            </w:r>
          </w:p>
        </w:tc>
      </w:tr>
      <w:tr w:rsidR="00156ED7" w:rsidRPr="008670F4" w:rsidTr="00B90DF0">
        <w:tc>
          <w:tcPr>
            <w:tcW w:w="131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b/>
                <w:i/>
                <w:sz w:val="16"/>
              </w:rPr>
            </w:pPr>
            <w:r w:rsidRPr="008670F4">
              <w:rPr>
                <w:b/>
                <w:i/>
                <w:sz w:val="16"/>
              </w:rPr>
              <w:t>Group D2: Investments made in multiple sub-projects via intermediation in a fund</w:t>
            </w:r>
          </w:p>
        </w:tc>
      </w:tr>
      <w:tr w:rsidR="00156ED7" w:rsidRPr="00927E96" w:rsidTr="00B90DF0"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ind w:left="176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Investment in Private Equity Fund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Equity (sometimes loan) subscription to fund, where the underlying investments are not listed</w:t>
            </w:r>
            <w:r>
              <w:rPr>
                <w:sz w:val="16"/>
              </w:rPr>
              <w:t xml:space="preserve"> </w:t>
            </w:r>
            <w:r w:rsidRPr="008670F4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8670F4">
              <w:rPr>
                <w:sz w:val="16"/>
              </w:rPr>
              <w:t>traded on any exchange.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Loan, Quasi-Equity, Equity</w:t>
            </w:r>
          </w:p>
        </w:tc>
      </w:tr>
      <w:tr w:rsidR="00156ED7" w:rsidRPr="00927E96" w:rsidTr="00B90DF0"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ind w:left="176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Investment in Listed Equity Fund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Equity subscription to a fund where the underlying investments are listed and traded on local / international exchanges.  May feature a debt instrument to provide leverage.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D7" w:rsidRPr="008670F4" w:rsidRDefault="00156ED7" w:rsidP="00B90DF0">
            <w:pPr>
              <w:pStyle w:val="GeneralText"/>
              <w:spacing w:before="40" w:after="40" w:line="240" w:lineRule="auto"/>
              <w:jc w:val="left"/>
              <w:rPr>
                <w:rFonts w:ascii="Verdana" w:hAnsi="Verdana"/>
                <w:sz w:val="16"/>
              </w:rPr>
            </w:pPr>
            <w:r w:rsidRPr="008670F4">
              <w:rPr>
                <w:sz w:val="16"/>
              </w:rPr>
              <w:t>Loan, Quasi-Equity, Equity</w:t>
            </w:r>
          </w:p>
        </w:tc>
      </w:tr>
    </w:tbl>
    <w:p w:rsidR="00156ED7" w:rsidRPr="001969E1" w:rsidRDefault="00156ED7" w:rsidP="00156ED7">
      <w:pPr>
        <w:pStyle w:val="MainHeading"/>
        <w:rPr>
          <w:sz w:val="2"/>
          <w:szCs w:val="2"/>
        </w:rPr>
      </w:pPr>
    </w:p>
    <w:p w:rsidR="009B3431" w:rsidRDefault="009B3431"/>
    <w:sectPr w:rsidR="009B3431" w:rsidSect="00156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ED7"/>
    <w:rsid w:val="000A772F"/>
    <w:rsid w:val="00156ED7"/>
    <w:rsid w:val="001C2184"/>
    <w:rsid w:val="00226272"/>
    <w:rsid w:val="00233E4B"/>
    <w:rsid w:val="00250485"/>
    <w:rsid w:val="00252E03"/>
    <w:rsid w:val="00377FA6"/>
    <w:rsid w:val="0040305B"/>
    <w:rsid w:val="004513F5"/>
    <w:rsid w:val="00490A9A"/>
    <w:rsid w:val="004D6D6F"/>
    <w:rsid w:val="007B4D47"/>
    <w:rsid w:val="007E207F"/>
    <w:rsid w:val="008151F6"/>
    <w:rsid w:val="0088138B"/>
    <w:rsid w:val="009B3431"/>
    <w:rsid w:val="00AA0E25"/>
    <w:rsid w:val="00B81138"/>
    <w:rsid w:val="00B90DF0"/>
    <w:rsid w:val="00C14D8D"/>
    <w:rsid w:val="00C171FE"/>
    <w:rsid w:val="00C338AB"/>
    <w:rsid w:val="00CC2AD6"/>
    <w:rsid w:val="00E82A1E"/>
    <w:rsid w:val="00FD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D7"/>
    <w:pPr>
      <w:widowControl w:val="0"/>
      <w:jc w:val="both"/>
    </w:pPr>
    <w:rPr>
      <w:rFonts w:ascii="Arial" w:eastAsia="SimSun" w:hAnsi="Arial"/>
      <w:kern w:val="2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Text">
    <w:name w:val="General Text"/>
    <w:basedOn w:val="Normal"/>
    <w:rsid w:val="00156ED7"/>
    <w:pPr>
      <w:keepLines/>
      <w:widowControl/>
      <w:suppressAutoHyphens/>
      <w:spacing w:before="120" w:line="264" w:lineRule="auto"/>
    </w:pPr>
    <w:rPr>
      <w:rFonts w:eastAsia="Times New Roman"/>
      <w:kern w:val="0"/>
      <w:sz w:val="18"/>
      <w:szCs w:val="20"/>
      <w:lang w:val="en-GB" w:eastAsia="en-US"/>
    </w:rPr>
  </w:style>
  <w:style w:type="paragraph" w:customStyle="1" w:styleId="MainHeading">
    <w:name w:val="Main Heading"/>
    <w:basedOn w:val="Normal"/>
    <w:qFormat/>
    <w:rsid w:val="00156ED7"/>
    <w:pPr>
      <w:keepLines/>
      <w:widowControl/>
      <w:tabs>
        <w:tab w:val="right" w:pos="14034"/>
      </w:tabs>
      <w:suppressAutoHyphens/>
      <w:spacing w:line="264" w:lineRule="auto"/>
    </w:pPr>
    <w:rPr>
      <w:rFonts w:eastAsia="Times New Roman"/>
      <w:b/>
      <w:kern w:val="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3382</Characters>
  <Application>Microsoft Office Word</Application>
  <DocSecurity>0</DocSecurity>
  <Lines>28</Lines>
  <Paragraphs>7</Paragraphs>
  <ScaleCrop>false</ScaleCrop>
  <Company> 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therese2</dc:creator>
  <cp:keywords/>
  <dc:description/>
  <cp:lastModifiedBy> therese2</cp:lastModifiedBy>
  <cp:revision>5</cp:revision>
  <dcterms:created xsi:type="dcterms:W3CDTF">2013-06-26T07:08:00Z</dcterms:created>
  <dcterms:modified xsi:type="dcterms:W3CDTF">2013-06-28T09:45:00Z</dcterms:modified>
</cp:coreProperties>
</file>