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30" w:rsidRPr="00964F47" w:rsidRDefault="005C1630" w:rsidP="00964F47">
      <w:pPr>
        <w:rPr>
          <w:b/>
        </w:rPr>
      </w:pPr>
      <w:bookmarkStart w:id="0" w:name="_Toc337121881"/>
      <w:r w:rsidRPr="00964F47">
        <w:rPr>
          <w:b/>
        </w:rPr>
        <w:t>Annex IV.3: Lookup Table for Determining Early Operating Maturity</w:t>
      </w:r>
      <w:bookmarkEnd w:id="0"/>
      <w:r w:rsidR="002D7C26" w:rsidRPr="00964F47">
        <w:rPr>
          <w:b/>
        </w:rPr>
        <w:t xml:space="preserve"> – Private Sector Evaluations</w:t>
      </w:r>
    </w:p>
    <w:p w:rsidR="005C1630" w:rsidRDefault="005C1630" w:rsidP="005C1630">
      <w:pPr>
        <w:pStyle w:val="General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7"/>
        <w:gridCol w:w="2329"/>
        <w:gridCol w:w="2330"/>
        <w:gridCol w:w="2330"/>
        <w:gridCol w:w="2330"/>
        <w:gridCol w:w="2330"/>
      </w:tblGrid>
      <w:tr w:rsidR="005C1630" w:rsidRPr="00852C36" w:rsidTr="005C1630">
        <w:tc>
          <w:tcPr>
            <w:tcW w:w="1527" w:type="dxa"/>
            <w:shd w:val="clear" w:color="auto" w:fill="auto"/>
          </w:tcPr>
          <w:p w:rsidR="005C1630" w:rsidRPr="00E3766D" w:rsidRDefault="005C1630" w:rsidP="00CB1225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E3766D">
              <w:rPr>
                <w:b/>
                <w:sz w:val="16"/>
                <w:szCs w:val="16"/>
              </w:rPr>
              <w:t>IFI Support Instrument:</w:t>
            </w:r>
          </w:p>
        </w:tc>
        <w:tc>
          <w:tcPr>
            <w:tcW w:w="2329" w:type="dxa"/>
          </w:tcPr>
          <w:p w:rsidR="005C1630" w:rsidRPr="00E3766D" w:rsidRDefault="005C1630" w:rsidP="00CB1225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E3766D">
              <w:rPr>
                <w:b/>
                <w:sz w:val="16"/>
                <w:szCs w:val="16"/>
              </w:rPr>
              <w:t>Project Type A</w:t>
            </w:r>
          </w:p>
        </w:tc>
        <w:tc>
          <w:tcPr>
            <w:tcW w:w="2330" w:type="dxa"/>
          </w:tcPr>
          <w:p w:rsidR="005C1630" w:rsidRPr="00E3766D" w:rsidRDefault="005C1630" w:rsidP="00CB1225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E3766D">
              <w:rPr>
                <w:b/>
                <w:sz w:val="16"/>
                <w:szCs w:val="16"/>
              </w:rPr>
              <w:t>Project Type B</w:t>
            </w:r>
          </w:p>
        </w:tc>
        <w:tc>
          <w:tcPr>
            <w:tcW w:w="2330" w:type="dxa"/>
          </w:tcPr>
          <w:p w:rsidR="005C1630" w:rsidRPr="00E3766D" w:rsidRDefault="005C1630" w:rsidP="00CB1225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E3766D">
              <w:rPr>
                <w:b/>
                <w:sz w:val="16"/>
                <w:szCs w:val="16"/>
              </w:rPr>
              <w:t>Project Type C</w:t>
            </w:r>
          </w:p>
        </w:tc>
        <w:tc>
          <w:tcPr>
            <w:tcW w:w="2330" w:type="dxa"/>
          </w:tcPr>
          <w:p w:rsidR="005C1630" w:rsidRPr="00E3766D" w:rsidRDefault="005C1630" w:rsidP="00CB1225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E3766D">
              <w:rPr>
                <w:b/>
                <w:sz w:val="16"/>
                <w:szCs w:val="16"/>
              </w:rPr>
              <w:t>Project Type D1</w:t>
            </w:r>
          </w:p>
        </w:tc>
        <w:tc>
          <w:tcPr>
            <w:tcW w:w="2330" w:type="dxa"/>
            <w:shd w:val="clear" w:color="auto" w:fill="auto"/>
          </w:tcPr>
          <w:p w:rsidR="005C1630" w:rsidRPr="00E3766D" w:rsidRDefault="005C1630" w:rsidP="00CB1225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E3766D">
              <w:rPr>
                <w:b/>
                <w:sz w:val="16"/>
                <w:szCs w:val="16"/>
              </w:rPr>
              <w:t>Project Type D2</w:t>
            </w:r>
          </w:p>
        </w:tc>
      </w:tr>
      <w:tr w:rsidR="005C1630" w:rsidRPr="00852C36" w:rsidTr="005C1630">
        <w:tc>
          <w:tcPr>
            <w:tcW w:w="1527" w:type="dxa"/>
            <w:shd w:val="clear" w:color="auto" w:fill="auto"/>
          </w:tcPr>
          <w:p w:rsidR="005C1630" w:rsidRPr="00E3766D" w:rsidRDefault="005C1630" w:rsidP="00CB1225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E3766D">
              <w:rPr>
                <w:b/>
                <w:sz w:val="16"/>
                <w:szCs w:val="16"/>
              </w:rPr>
              <w:t>Loan / Equity / Quasi-Equity</w:t>
            </w:r>
          </w:p>
        </w:tc>
        <w:tc>
          <w:tcPr>
            <w:tcW w:w="2329" w:type="dxa"/>
          </w:tcPr>
          <w:p w:rsidR="005C1630" w:rsidRPr="00E3766D" w:rsidRDefault="005C1630" w:rsidP="00CB1225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E3766D">
              <w:rPr>
                <w:sz w:val="16"/>
                <w:szCs w:val="16"/>
              </w:rPr>
              <w:t>(a) The project has been substantially completed; and</w:t>
            </w:r>
          </w:p>
          <w:p w:rsidR="005C1630" w:rsidRPr="00E3766D" w:rsidRDefault="005C1630" w:rsidP="00CB1225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E3766D">
              <w:rPr>
                <w:sz w:val="16"/>
                <w:szCs w:val="16"/>
              </w:rPr>
              <w:t>(b) The project has generated at least 18 months of operating revenues for the company; and</w:t>
            </w:r>
          </w:p>
          <w:p w:rsidR="005C1630" w:rsidRPr="00E3766D" w:rsidRDefault="005C1630" w:rsidP="00CB1225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E3766D">
              <w:rPr>
                <w:sz w:val="16"/>
                <w:szCs w:val="16"/>
              </w:rPr>
              <w:t>(c) The IFI has received at least one set of audited annual financial statements covering at least 12 months of operating revenues generated by the project.</w:t>
            </w:r>
          </w:p>
        </w:tc>
        <w:tc>
          <w:tcPr>
            <w:tcW w:w="2330" w:type="dxa"/>
          </w:tcPr>
          <w:p w:rsidR="005C1630" w:rsidRPr="00E3766D" w:rsidRDefault="005C1630" w:rsidP="00CB1225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E3766D">
              <w:rPr>
                <w:sz w:val="16"/>
                <w:szCs w:val="16"/>
              </w:rPr>
              <w:t>(a) The IFI has made its final material disbursement (i.e., any further disbursements will be minor in comparison to the overall facility size and not critical to project implementation); and</w:t>
            </w:r>
          </w:p>
          <w:p w:rsidR="005C1630" w:rsidRPr="00E3766D" w:rsidRDefault="005C1630" w:rsidP="00CB1225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E3766D">
              <w:rPr>
                <w:sz w:val="16"/>
                <w:szCs w:val="16"/>
              </w:rPr>
              <w:t>(b) Other parallel financing (if applicable) has also been disbursed; and</w:t>
            </w:r>
          </w:p>
          <w:p w:rsidR="005C1630" w:rsidRPr="00E3766D" w:rsidRDefault="005C1630" w:rsidP="00CB1225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E3766D">
              <w:rPr>
                <w:sz w:val="16"/>
                <w:szCs w:val="16"/>
              </w:rPr>
              <w:t>(c) The IFI has received at least one set of audited annual financial statements covering at least 36 months of operating revenues post-disbursement.</w:t>
            </w:r>
          </w:p>
        </w:tc>
        <w:tc>
          <w:tcPr>
            <w:tcW w:w="2330" w:type="dxa"/>
          </w:tcPr>
          <w:p w:rsidR="005C1630" w:rsidRPr="00E3766D" w:rsidRDefault="005C1630" w:rsidP="00CB1225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E3766D">
              <w:rPr>
                <w:sz w:val="16"/>
                <w:szCs w:val="16"/>
              </w:rPr>
              <w:t>(a) The IFI has made its final material disbursement (i.e., any further disbursements will be minor in comparison to the overall facility size and not critical to project implementation); and</w:t>
            </w:r>
          </w:p>
          <w:p w:rsidR="005C1630" w:rsidRPr="00E3766D" w:rsidRDefault="005C1630" w:rsidP="00CB1225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E3766D">
              <w:rPr>
                <w:sz w:val="16"/>
                <w:szCs w:val="16"/>
              </w:rPr>
              <w:t>(b) Other parallel financing (if applicable) has also been disbursed; and</w:t>
            </w:r>
          </w:p>
          <w:p w:rsidR="005C1630" w:rsidRPr="00E3766D" w:rsidRDefault="005C1630" w:rsidP="00CB1225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E3766D">
              <w:rPr>
                <w:sz w:val="16"/>
                <w:szCs w:val="16"/>
              </w:rPr>
              <w:t>(c) The IFI has received at least one set of audited annual financial statements covering at least 24 months of operating revenues post-disbursement.</w:t>
            </w:r>
          </w:p>
        </w:tc>
        <w:tc>
          <w:tcPr>
            <w:tcW w:w="2330" w:type="dxa"/>
          </w:tcPr>
          <w:p w:rsidR="005C1630" w:rsidRPr="00E3766D" w:rsidRDefault="005C1630" w:rsidP="00CB1225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E3766D">
              <w:rPr>
                <w:sz w:val="16"/>
                <w:szCs w:val="16"/>
              </w:rPr>
              <w:t>(a) Where the principal objective is to assist capital expenditure projects in sub-borrowers, at least 30 months should have elapsed following the IFI’s final material disbursement to the Financial Intermediary.</w:t>
            </w:r>
          </w:p>
          <w:p w:rsidR="005C1630" w:rsidRPr="00E3766D" w:rsidRDefault="005C1630" w:rsidP="00CB1225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E3766D">
              <w:rPr>
                <w:sz w:val="16"/>
                <w:szCs w:val="16"/>
              </w:rPr>
              <w:t>(b) Where the principal objective is to support the short-term working capital or trade finance requirements of sub-borrowers, at least 24 months should have elapsed following project approval/commitment.</w:t>
            </w:r>
          </w:p>
        </w:tc>
        <w:tc>
          <w:tcPr>
            <w:tcW w:w="2330" w:type="dxa"/>
            <w:shd w:val="clear" w:color="auto" w:fill="auto"/>
          </w:tcPr>
          <w:p w:rsidR="005C1630" w:rsidRPr="00E3766D" w:rsidRDefault="005C1630" w:rsidP="00CB1225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E3766D">
              <w:rPr>
                <w:sz w:val="16"/>
                <w:szCs w:val="16"/>
              </w:rPr>
              <w:t>(a) For all funds, the substantial majority of sub-investments should have been exited; or</w:t>
            </w:r>
          </w:p>
          <w:p w:rsidR="005C1630" w:rsidRPr="00E3766D" w:rsidRDefault="005C1630" w:rsidP="00CB1225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E3766D">
              <w:rPr>
                <w:sz w:val="16"/>
                <w:szCs w:val="16"/>
              </w:rPr>
              <w:t>(b) For private equity funds, at least 36 months should have elapsed following the IFI’s final material disbursement to the fund (ignoring disbursements for small follow-up investments in existing client companies and disbursements to cover management fees or other expenses); or</w:t>
            </w:r>
          </w:p>
          <w:p w:rsidR="005C1630" w:rsidRPr="00E3766D" w:rsidRDefault="005C1630" w:rsidP="00CB1225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E3766D">
              <w:rPr>
                <w:sz w:val="16"/>
                <w:szCs w:val="16"/>
              </w:rPr>
              <w:t>(c) For listed equity funds, at least 18 months have elapsed following the IFI’s final material disbursement to the fund (ignoring disbursements to cover management fees or other expenses).</w:t>
            </w:r>
          </w:p>
        </w:tc>
      </w:tr>
      <w:tr w:rsidR="005C1630" w:rsidRPr="00852C36" w:rsidTr="005C1630">
        <w:tc>
          <w:tcPr>
            <w:tcW w:w="1527" w:type="dxa"/>
            <w:shd w:val="clear" w:color="auto" w:fill="auto"/>
          </w:tcPr>
          <w:p w:rsidR="005C1630" w:rsidRPr="00E3766D" w:rsidRDefault="005C1630" w:rsidP="00CB1225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E3766D">
              <w:rPr>
                <w:b/>
                <w:sz w:val="16"/>
                <w:szCs w:val="16"/>
              </w:rPr>
              <w:t>Financial Guarantee</w:t>
            </w:r>
          </w:p>
        </w:tc>
        <w:tc>
          <w:tcPr>
            <w:tcW w:w="2329" w:type="dxa"/>
          </w:tcPr>
          <w:p w:rsidR="005C1630" w:rsidRPr="00E3766D" w:rsidRDefault="005C1630" w:rsidP="00CB1225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E3766D">
              <w:rPr>
                <w:sz w:val="16"/>
                <w:szCs w:val="16"/>
              </w:rPr>
              <w:t>(a) The project has been substantially completed; and</w:t>
            </w:r>
          </w:p>
          <w:p w:rsidR="005C1630" w:rsidRPr="00E3766D" w:rsidRDefault="005C1630" w:rsidP="00CB1225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E3766D">
              <w:rPr>
                <w:sz w:val="16"/>
                <w:szCs w:val="16"/>
              </w:rPr>
              <w:t>(b) The project has generated at least 18 months of operating revenues for the company; and</w:t>
            </w:r>
          </w:p>
          <w:p w:rsidR="005C1630" w:rsidRPr="00E3766D" w:rsidRDefault="005C1630" w:rsidP="00CB1225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E3766D">
              <w:rPr>
                <w:sz w:val="16"/>
                <w:szCs w:val="16"/>
              </w:rPr>
              <w:t>(c) The IFI has received at least one set of audited annual financial statements covering at least 12 months of operating revenues generated by the project.</w:t>
            </w:r>
          </w:p>
        </w:tc>
        <w:tc>
          <w:tcPr>
            <w:tcW w:w="2330" w:type="dxa"/>
          </w:tcPr>
          <w:p w:rsidR="005C1630" w:rsidRPr="00E3766D" w:rsidRDefault="005C1630" w:rsidP="00CB1225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E3766D">
              <w:rPr>
                <w:sz w:val="16"/>
                <w:szCs w:val="16"/>
              </w:rPr>
              <w:t>(a) The IFI has issued the guarantee and is at or near its approved exposure limit; and</w:t>
            </w:r>
          </w:p>
          <w:p w:rsidR="005C1630" w:rsidRPr="00E3766D" w:rsidRDefault="005C1630" w:rsidP="00CB1225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E3766D">
              <w:rPr>
                <w:sz w:val="16"/>
                <w:szCs w:val="16"/>
              </w:rPr>
              <w:t>(b) Other parallel financing (if applicable) has also been disbursed; and</w:t>
            </w:r>
          </w:p>
          <w:p w:rsidR="005C1630" w:rsidRPr="00E3766D" w:rsidRDefault="005C1630" w:rsidP="00CB1225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E3766D">
              <w:rPr>
                <w:sz w:val="16"/>
                <w:szCs w:val="16"/>
              </w:rPr>
              <w:t>(c) The IFI has received at least one set of audited annual financial statements covering at least 36 months of operating revenues post-issuance and disbursement of parallel funding (if applicable).</w:t>
            </w:r>
          </w:p>
        </w:tc>
        <w:tc>
          <w:tcPr>
            <w:tcW w:w="2330" w:type="dxa"/>
          </w:tcPr>
          <w:p w:rsidR="005C1630" w:rsidRPr="00E3766D" w:rsidRDefault="005C1630" w:rsidP="00CB1225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E3766D">
              <w:rPr>
                <w:sz w:val="16"/>
                <w:szCs w:val="16"/>
              </w:rPr>
              <w:t>(a) The IFI has issued the guarantee and is at or near its approved exposure limit; and</w:t>
            </w:r>
          </w:p>
          <w:p w:rsidR="005C1630" w:rsidRPr="00E3766D" w:rsidRDefault="005C1630" w:rsidP="00CB1225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E3766D">
              <w:rPr>
                <w:sz w:val="16"/>
                <w:szCs w:val="16"/>
              </w:rPr>
              <w:t>(b) Other parallel financing (if applicable) has also been disbursed; and</w:t>
            </w:r>
          </w:p>
          <w:p w:rsidR="005C1630" w:rsidRPr="00E3766D" w:rsidRDefault="005C1630" w:rsidP="00CB1225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E3766D">
              <w:rPr>
                <w:sz w:val="16"/>
                <w:szCs w:val="16"/>
              </w:rPr>
              <w:t>(c) The IFI has received at least one set of audited annual financial statements covering at least 24 months of operating revenues post-issuance and disbursement of parallel funding (if applicable).</w:t>
            </w:r>
          </w:p>
        </w:tc>
        <w:tc>
          <w:tcPr>
            <w:tcW w:w="2330" w:type="dxa"/>
          </w:tcPr>
          <w:p w:rsidR="005C1630" w:rsidRPr="00E3766D" w:rsidRDefault="005C1630" w:rsidP="00CB1225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E3766D">
              <w:rPr>
                <w:sz w:val="16"/>
                <w:szCs w:val="16"/>
              </w:rPr>
              <w:t>(a) Where the principal objective is to support the short-term trade finance requirements of sub-borrowers, at least 24 months should have elapsed following project approval/ commitment.</w:t>
            </w:r>
          </w:p>
        </w:tc>
        <w:tc>
          <w:tcPr>
            <w:tcW w:w="2330" w:type="dxa"/>
            <w:shd w:val="clear" w:color="auto" w:fill="auto"/>
          </w:tcPr>
          <w:p w:rsidR="005C1630" w:rsidRPr="00E3766D" w:rsidRDefault="005C1630" w:rsidP="00CB1225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E3766D">
              <w:rPr>
                <w:sz w:val="16"/>
                <w:szCs w:val="16"/>
              </w:rPr>
              <w:t>Not Applicable.</w:t>
            </w:r>
          </w:p>
        </w:tc>
      </w:tr>
      <w:tr w:rsidR="005C1630" w:rsidRPr="00852C36" w:rsidTr="005C1630">
        <w:tc>
          <w:tcPr>
            <w:tcW w:w="1527" w:type="dxa"/>
            <w:shd w:val="clear" w:color="auto" w:fill="auto"/>
          </w:tcPr>
          <w:p w:rsidR="005C1630" w:rsidRPr="00E3766D" w:rsidRDefault="005C1630" w:rsidP="00CB1225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E3766D">
              <w:rPr>
                <w:b/>
                <w:sz w:val="16"/>
                <w:szCs w:val="16"/>
              </w:rPr>
              <w:t xml:space="preserve">MIGA Political Risk Insurance </w:t>
            </w:r>
          </w:p>
        </w:tc>
        <w:tc>
          <w:tcPr>
            <w:tcW w:w="2329" w:type="dxa"/>
          </w:tcPr>
          <w:p w:rsidR="005C1630" w:rsidRPr="00E3766D" w:rsidRDefault="005C1630" w:rsidP="00CB1225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E3766D">
              <w:rPr>
                <w:sz w:val="16"/>
                <w:szCs w:val="16"/>
              </w:rPr>
              <w:t xml:space="preserve">(a) at least 36 months should have elapsed following the issuance of the PRI </w:t>
            </w:r>
            <w:r w:rsidRPr="00E3766D">
              <w:rPr>
                <w:sz w:val="16"/>
                <w:szCs w:val="16"/>
              </w:rPr>
              <w:lastRenderedPageBreak/>
              <w:t>guarantee.</w:t>
            </w:r>
          </w:p>
        </w:tc>
        <w:tc>
          <w:tcPr>
            <w:tcW w:w="2330" w:type="dxa"/>
          </w:tcPr>
          <w:p w:rsidR="005C1630" w:rsidRPr="00E3766D" w:rsidRDefault="005C1630" w:rsidP="00CB1225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E3766D">
              <w:rPr>
                <w:sz w:val="16"/>
                <w:szCs w:val="16"/>
              </w:rPr>
              <w:lastRenderedPageBreak/>
              <w:t xml:space="preserve">(a) at least 36 months should have elapsed following the issuance of the PRI </w:t>
            </w:r>
            <w:r w:rsidRPr="00E3766D">
              <w:rPr>
                <w:sz w:val="16"/>
                <w:szCs w:val="16"/>
              </w:rPr>
              <w:lastRenderedPageBreak/>
              <w:t>guarantee.</w:t>
            </w:r>
          </w:p>
        </w:tc>
        <w:tc>
          <w:tcPr>
            <w:tcW w:w="2330" w:type="dxa"/>
          </w:tcPr>
          <w:p w:rsidR="005C1630" w:rsidRPr="00E3766D" w:rsidRDefault="005C1630" w:rsidP="00CB1225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E3766D">
              <w:rPr>
                <w:sz w:val="16"/>
                <w:szCs w:val="16"/>
              </w:rPr>
              <w:lastRenderedPageBreak/>
              <w:t xml:space="preserve">(a) at least 36 months should have elapsed following the issuance of the PRI </w:t>
            </w:r>
            <w:r w:rsidRPr="00E3766D">
              <w:rPr>
                <w:sz w:val="16"/>
                <w:szCs w:val="16"/>
              </w:rPr>
              <w:lastRenderedPageBreak/>
              <w:t>guarantee.</w:t>
            </w:r>
          </w:p>
        </w:tc>
        <w:tc>
          <w:tcPr>
            <w:tcW w:w="2330" w:type="dxa"/>
          </w:tcPr>
          <w:p w:rsidR="005C1630" w:rsidRPr="00E3766D" w:rsidRDefault="005C1630" w:rsidP="00CB1225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E3766D">
              <w:rPr>
                <w:sz w:val="16"/>
                <w:szCs w:val="16"/>
              </w:rPr>
              <w:lastRenderedPageBreak/>
              <w:t xml:space="preserve">(a) at least 36 months should have elapsed following the issuance of the PRI </w:t>
            </w:r>
            <w:r w:rsidRPr="00E3766D">
              <w:rPr>
                <w:sz w:val="16"/>
                <w:szCs w:val="16"/>
              </w:rPr>
              <w:lastRenderedPageBreak/>
              <w:t>guarantee.</w:t>
            </w:r>
          </w:p>
        </w:tc>
        <w:tc>
          <w:tcPr>
            <w:tcW w:w="2330" w:type="dxa"/>
            <w:shd w:val="clear" w:color="auto" w:fill="auto"/>
          </w:tcPr>
          <w:p w:rsidR="005C1630" w:rsidRPr="00E3766D" w:rsidRDefault="005C1630" w:rsidP="00CB1225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E3766D">
              <w:rPr>
                <w:sz w:val="16"/>
                <w:szCs w:val="16"/>
              </w:rPr>
              <w:lastRenderedPageBreak/>
              <w:t xml:space="preserve">(a) at least 36 months should have elapsed following the issuance of the PRI </w:t>
            </w:r>
            <w:r w:rsidRPr="00E3766D">
              <w:rPr>
                <w:sz w:val="16"/>
                <w:szCs w:val="16"/>
              </w:rPr>
              <w:lastRenderedPageBreak/>
              <w:t>guarantee.</w:t>
            </w:r>
          </w:p>
        </w:tc>
      </w:tr>
    </w:tbl>
    <w:p w:rsidR="005C1630" w:rsidRDefault="005C1630" w:rsidP="005C1630">
      <w:pPr>
        <w:pStyle w:val="MainHeading"/>
      </w:pPr>
    </w:p>
    <w:p w:rsidR="009B3431" w:rsidRDefault="009B3431"/>
    <w:sectPr w:rsidR="009B3431" w:rsidSect="005C16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C1630"/>
    <w:rsid w:val="000A772F"/>
    <w:rsid w:val="001C2184"/>
    <w:rsid w:val="00226272"/>
    <w:rsid w:val="00233E4B"/>
    <w:rsid w:val="00250485"/>
    <w:rsid w:val="00252E03"/>
    <w:rsid w:val="002D7C26"/>
    <w:rsid w:val="00377FA6"/>
    <w:rsid w:val="0040305B"/>
    <w:rsid w:val="004513F5"/>
    <w:rsid w:val="00490A9A"/>
    <w:rsid w:val="004D6D6F"/>
    <w:rsid w:val="005A5CB0"/>
    <w:rsid w:val="005C1630"/>
    <w:rsid w:val="007B4D47"/>
    <w:rsid w:val="007E207F"/>
    <w:rsid w:val="008151F6"/>
    <w:rsid w:val="0088138B"/>
    <w:rsid w:val="00964F47"/>
    <w:rsid w:val="009766C1"/>
    <w:rsid w:val="009B3431"/>
    <w:rsid w:val="00AA0E25"/>
    <w:rsid w:val="00AC7E02"/>
    <w:rsid w:val="00C171FE"/>
    <w:rsid w:val="00C57FB0"/>
    <w:rsid w:val="00E3766D"/>
    <w:rsid w:val="00E82A1E"/>
    <w:rsid w:val="00FD0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630"/>
    <w:pPr>
      <w:widowControl w:val="0"/>
      <w:jc w:val="both"/>
    </w:pPr>
    <w:rPr>
      <w:rFonts w:ascii="Arial" w:eastAsia="SimSun" w:hAnsi="Arial"/>
      <w:kern w:val="2"/>
      <w:sz w:val="22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ralText">
    <w:name w:val="General Text"/>
    <w:basedOn w:val="Normal"/>
    <w:rsid w:val="005C1630"/>
    <w:pPr>
      <w:keepLines/>
      <w:widowControl/>
      <w:suppressAutoHyphens/>
      <w:spacing w:before="120" w:line="264" w:lineRule="auto"/>
    </w:pPr>
    <w:rPr>
      <w:rFonts w:eastAsia="Times New Roman"/>
      <w:kern w:val="0"/>
      <w:sz w:val="18"/>
      <w:szCs w:val="20"/>
      <w:lang w:val="en-GB" w:eastAsia="en-US"/>
    </w:rPr>
  </w:style>
  <w:style w:type="paragraph" w:customStyle="1" w:styleId="MainHeading">
    <w:name w:val="Main Heading"/>
    <w:basedOn w:val="Normal"/>
    <w:qFormat/>
    <w:rsid w:val="005C1630"/>
    <w:pPr>
      <w:keepLines/>
      <w:widowControl/>
      <w:tabs>
        <w:tab w:val="right" w:pos="14034"/>
      </w:tabs>
      <w:suppressAutoHyphens/>
      <w:spacing w:line="264" w:lineRule="auto"/>
    </w:pPr>
    <w:rPr>
      <w:rFonts w:eastAsia="Times New Roman"/>
      <w:b/>
      <w:kern w:val="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606</Words>
  <Characters>3458</Characters>
  <Application>Microsoft Office Word</Application>
  <DocSecurity>0</DocSecurity>
  <Lines>28</Lines>
  <Paragraphs>8</Paragraphs>
  <ScaleCrop>false</ScaleCrop>
  <Company> 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therese2</dc:creator>
  <cp:keywords/>
  <dc:description/>
  <cp:lastModifiedBy> therese2</cp:lastModifiedBy>
  <cp:revision>5</cp:revision>
  <dcterms:created xsi:type="dcterms:W3CDTF">2013-06-26T07:24:00Z</dcterms:created>
  <dcterms:modified xsi:type="dcterms:W3CDTF">2013-06-28T09:47:00Z</dcterms:modified>
</cp:coreProperties>
</file>